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4.4pt;height:839pt;margin-top:-1pt;margin-left:15.3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AUBSMP+SimSun" w:hAnsi="AUBSMP+SimSun" w:eastAsiaTheme="minorEastAsia" w:cs="AUBSMP+SimSun"/>
          <w:color w:val="000000"/>
          <w:spacing w:val="0"/>
          <w:sz w:val="30"/>
        </w:rPr>
        <w:t>由</w:t>
      </w:r>
      <w:r>
        <w:rPr>
          <w:rStyle w:val="DefaultParagraphFont"/>
          <w:rFonts w:ascii="AUBSMP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AUBSMP+SimSun" w:hAnsi="AUBSMP+SimSun" w:eastAsiaTheme="minorEastAsia" w:cs="AUBSMP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AUBSMP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AUBSMP+SimSun" w:hAnsi="AUBSMP+SimSun" w:eastAsiaTheme="minorEastAsia" w:cs="AUBSMP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AUBSMP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